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i w:val="1"/>
          <w:rtl w:val="0"/>
        </w:rPr>
        <w:t xml:space="preserve">The Last Book in the Universe </w:t>
      </w:r>
      <w:r w:rsidDel="00000000" w:rsidR="00000000" w:rsidRPr="00000000">
        <w:rPr>
          <w:b w:val="1"/>
          <w:rtl w:val="0"/>
        </w:rPr>
        <w:t xml:space="preserve">Setting Assignment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“Eden is the center of the Urb”, she explains, tapping her nav screen. “The Zone surrounds Eden on all sides. So we can get to any latch by circling through the minefields.” (page 102)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Steps: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For each location, find a quote from the book that describes it.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2. Then, on a big piece of paper, outline Eden and Urb, but leave Eden blank for now.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3. For Urb, draw the way you see it, based on the quotes you found and other descriptions in the novel.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4. Lastly, draw the route that Ryter, Little Face, and Spaz are taking to get to Eden.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color is important (and symbolic!)</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8280"/>
        <w:tblGridChange w:id="0">
          <w:tblGrid>
            <w:gridCol w:w="2520"/>
            <w:gridCol w:w="8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Quote from novel AND page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Forbidden 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Streets of Urb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they look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Bully Bangers’ Latch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Crypts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Maximall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Ryter’s Stack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Monkey Boys’ Latch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Vandals’ Latch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Traderville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Towards the end of the novel, we will be doing the same activity for Eden, and you can fill in that part of your map at that point.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might want to use the rest of this page to draw a draft of what you imagine.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